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C1B" w:rsidRDefault="00FC5C1B" w:rsidP="00FC5C1B">
      <w:pPr>
        <w:tabs>
          <w:tab w:val="left" w:pos="3300"/>
        </w:tabs>
        <w:spacing w:after="0"/>
        <w:ind w:firstLine="426"/>
        <w:rPr>
          <w:b/>
        </w:rPr>
      </w:pPr>
      <w:r>
        <w:rPr>
          <w:b/>
        </w:rPr>
        <w:tab/>
        <w:t xml:space="preserve">                                                                    Утверждаю</w:t>
      </w:r>
    </w:p>
    <w:p w:rsidR="00FC5C1B" w:rsidRDefault="00FC5C1B" w:rsidP="00FC5C1B">
      <w:pPr>
        <w:tabs>
          <w:tab w:val="left" w:pos="3300"/>
        </w:tabs>
        <w:spacing w:after="0"/>
        <w:ind w:firstLine="426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Приказ№</w:t>
      </w:r>
      <w:r w:rsidR="003A6067">
        <w:rPr>
          <w:b/>
        </w:rPr>
        <w:t>20 от 20.01.2023г.</w:t>
      </w:r>
      <w:bookmarkStart w:id="0" w:name="_GoBack"/>
      <w:bookmarkEnd w:id="0"/>
    </w:p>
    <w:p w:rsidR="00FC5C1B" w:rsidRDefault="00FC5C1B" w:rsidP="00FC5C1B">
      <w:pPr>
        <w:tabs>
          <w:tab w:val="left" w:pos="3300"/>
        </w:tabs>
        <w:spacing w:after="0"/>
        <w:ind w:firstLine="426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Директор </w:t>
      </w:r>
    </w:p>
    <w:p w:rsidR="00FC5C1B" w:rsidRDefault="00FC5C1B" w:rsidP="00FC5C1B">
      <w:pPr>
        <w:tabs>
          <w:tab w:val="left" w:pos="3300"/>
        </w:tabs>
        <w:spacing w:after="0"/>
        <w:ind w:firstLine="426"/>
        <w:rPr>
          <w:b/>
        </w:rPr>
      </w:pPr>
    </w:p>
    <w:p w:rsidR="00FC5C1B" w:rsidRDefault="00FC5C1B" w:rsidP="00FC5C1B">
      <w:pPr>
        <w:tabs>
          <w:tab w:val="left" w:pos="3300"/>
        </w:tabs>
        <w:spacing w:after="0"/>
        <w:ind w:firstLine="426"/>
        <w:rPr>
          <w:b/>
        </w:rPr>
      </w:pPr>
    </w:p>
    <w:p w:rsidR="00FC5C1B" w:rsidRDefault="00FC5C1B" w:rsidP="00FC5C1B">
      <w:pPr>
        <w:tabs>
          <w:tab w:val="left" w:pos="3300"/>
        </w:tabs>
        <w:spacing w:after="0"/>
        <w:ind w:firstLine="426"/>
        <w:rPr>
          <w:b/>
        </w:rPr>
      </w:pPr>
    </w:p>
    <w:p w:rsidR="00FC5C1B" w:rsidRDefault="00FC5C1B" w:rsidP="00FC5C1B">
      <w:pPr>
        <w:tabs>
          <w:tab w:val="left" w:pos="3300"/>
        </w:tabs>
        <w:spacing w:after="0"/>
        <w:ind w:firstLine="426"/>
        <w:rPr>
          <w:b/>
        </w:rPr>
      </w:pPr>
    </w:p>
    <w:p w:rsidR="00FC5C1B" w:rsidRDefault="00FC5C1B" w:rsidP="00FC5C1B">
      <w:pPr>
        <w:tabs>
          <w:tab w:val="left" w:pos="3300"/>
        </w:tabs>
        <w:spacing w:after="0"/>
        <w:ind w:firstLine="426"/>
        <w:rPr>
          <w:b/>
        </w:rPr>
      </w:pPr>
      <w:r>
        <w:rPr>
          <w:b/>
        </w:rPr>
        <w:t xml:space="preserve">                                 </w:t>
      </w:r>
    </w:p>
    <w:p w:rsidR="00FC5C1B" w:rsidRDefault="00FC5C1B" w:rsidP="00FC5C1B">
      <w:pPr>
        <w:keepNext/>
        <w:framePr w:dropCap="drop" w:lines="3" w:wrap="around" w:vAnchor="text" w:hAnchor="text"/>
        <w:spacing w:after="0" w:line="948" w:lineRule="exact"/>
        <w:textAlignment w:val="baseline"/>
        <w:rPr>
          <w:rFonts w:cstheme="minorHAnsi"/>
          <w:b/>
          <w:color w:val="806000" w:themeColor="accent4" w:themeShade="80"/>
          <w:position w:val="-10"/>
          <w:sz w:val="24"/>
          <w:szCs w:val="24"/>
        </w:rPr>
      </w:pPr>
      <w:r>
        <w:rPr>
          <w:rFonts w:cstheme="minorHAnsi"/>
          <w:b/>
          <w:color w:val="806000" w:themeColor="accent4" w:themeShade="80"/>
          <w:position w:val="-10"/>
          <w:sz w:val="127"/>
          <w:szCs w:val="24"/>
        </w:rPr>
        <w:t>П</w:t>
      </w:r>
    </w:p>
    <w:p w:rsidR="00FC5C1B" w:rsidRDefault="00FC5C1B" w:rsidP="00FC5C1B">
      <w:pPr>
        <w:spacing w:after="0"/>
        <w:jc w:val="both"/>
        <w:rPr>
          <w:b/>
          <w:color w:val="663300"/>
          <w:sz w:val="24"/>
          <w:szCs w:val="24"/>
        </w:rPr>
      </w:pPr>
      <w:r>
        <w:rPr>
          <w:b/>
          <w:color w:val="663300"/>
          <w:sz w:val="24"/>
          <w:szCs w:val="24"/>
        </w:rPr>
        <w:t>римерное положение о системе наставничества педагогических работников                    в образовательной организации</w:t>
      </w: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Общие положения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1.1. Настоящее Положение о системе наставничества педагогических работников в МКОУ «</w:t>
      </w:r>
      <w:proofErr w:type="spellStart"/>
      <w:r>
        <w:rPr>
          <w:sz w:val="24"/>
          <w:szCs w:val="24"/>
        </w:rPr>
        <w:t>Чагаротарская</w:t>
      </w:r>
      <w:proofErr w:type="spellEnd"/>
      <w:r>
        <w:rPr>
          <w:sz w:val="24"/>
          <w:szCs w:val="24"/>
        </w:rPr>
        <w:t xml:space="preserve"> СОШ им. </w:t>
      </w:r>
      <w:proofErr w:type="spellStart"/>
      <w:r>
        <w:rPr>
          <w:sz w:val="24"/>
          <w:szCs w:val="24"/>
        </w:rPr>
        <w:t>А.И.Исмаилова</w:t>
      </w:r>
      <w:proofErr w:type="spellEnd"/>
      <w:r>
        <w:rPr>
          <w:sz w:val="24"/>
          <w:szCs w:val="24"/>
        </w:rPr>
        <w:t xml:space="preserve">» определяет цели, задачи, формы и порядок осуществления наставничества (далее – Положение). Разработано в соответствии с нормативной правовой базой в сфере образования и наставничества.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В Положении используются следующие понятия: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52" name="Рисунок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52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Наставник –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53" name="Рисунок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53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54" name="Рисунок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54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Куратор -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55" name="Рисунок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5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56" name="Рисунок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6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Форма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57" name="Рисунок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57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Персонализированная программа наставничества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</w:t>
      </w:r>
      <w:r>
        <w:rPr>
          <w:sz w:val="24"/>
          <w:szCs w:val="24"/>
        </w:rPr>
        <w:lastRenderedPageBreak/>
        <w:t xml:space="preserve">выявленных профессиональных затруднений наставляемого и на поддержку его сильных сторон. </w:t>
      </w: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Основными принципами системы наставничества педагогических работников являются: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ab/>
        <w:t xml:space="preserve">принцип научности – предполагает применение научно обоснованных методик и технологий в сфере наставничества педагогических работников;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</w:rPr>
        <w:tab/>
        <w:t xml:space="preserve">принцип системности и стратегической целостности –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z w:val="24"/>
          <w:szCs w:val="24"/>
        </w:rPr>
        <w:tab/>
        <w:t xml:space="preserve">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z w:val="24"/>
          <w:szCs w:val="24"/>
        </w:rPr>
        <w:tab/>
        <w:t xml:space="preserve">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>
        <w:rPr>
          <w:sz w:val="24"/>
          <w:szCs w:val="24"/>
        </w:rPr>
        <w:tab/>
        <w:t xml:space="preserve">принцип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>
        <w:rPr>
          <w:sz w:val="24"/>
          <w:szCs w:val="24"/>
        </w:rPr>
        <w:tab/>
        <w:t xml:space="preserve">принцип </w:t>
      </w:r>
      <w:proofErr w:type="spellStart"/>
      <w:r>
        <w:rPr>
          <w:sz w:val="24"/>
          <w:szCs w:val="24"/>
        </w:rPr>
        <w:t>аксиологичности</w:t>
      </w:r>
      <w:proofErr w:type="spellEnd"/>
      <w:r>
        <w:rPr>
          <w:sz w:val="24"/>
          <w:szCs w:val="24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>
        <w:rPr>
          <w:sz w:val="24"/>
          <w:szCs w:val="24"/>
        </w:rPr>
        <w:tab/>
        <w:t xml:space="preserve">принцип личной ответственности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>
        <w:rPr>
          <w:sz w:val="24"/>
          <w:szCs w:val="24"/>
        </w:rPr>
        <w:tab/>
        <w:t xml:space="preserve">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>
        <w:rPr>
          <w:sz w:val="24"/>
          <w:szCs w:val="24"/>
        </w:rPr>
        <w:tab/>
        <w:t xml:space="preserve"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Участие в системе наставничества </w:t>
      </w:r>
      <w:r>
        <w:rPr>
          <w:color w:val="663300"/>
          <w:sz w:val="24"/>
          <w:szCs w:val="24"/>
        </w:rPr>
        <w:t>не должно наносить ущерба образовательному процессу образовательной организации</w:t>
      </w:r>
      <w:r>
        <w:rPr>
          <w:sz w:val="24"/>
          <w:szCs w:val="24"/>
        </w:rPr>
        <w:t xml:space="preserve">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Цель и задачи системы наставничества. Формы наставничества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Цель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</w:t>
      </w:r>
      <w:r>
        <w:rPr>
          <w:sz w:val="24"/>
          <w:szCs w:val="24"/>
        </w:rPr>
        <w:lastRenderedPageBreak/>
        <w:t xml:space="preserve">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Задачи системы наставничества педагогических работников: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содействовать увеличению числа закрепившихся в профессии педагогических кадров, в том числе молодых/начинающих педагогов;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В образовательной организации применяются разнообразные формы наставничества ("педагог – педагог", "руководитель образовательной организации – педагог", </w:t>
      </w:r>
      <w:r>
        <w:rPr>
          <w:sz w:val="24"/>
          <w:szCs w:val="24"/>
        </w:rPr>
        <w:lastRenderedPageBreak/>
        <w:t xml:space="preserve">"работодатель – студент", "педагог вуза/колледжа – молодой педагог образовательной организации" и другие) по отношению к наставнику или группе наставляемых. </w:t>
      </w: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</w:t>
      </w: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Формы наставничества используются как в одном виде, так и в комплексе в зависимости от запланированных эффектов. </w:t>
      </w:r>
    </w:p>
    <w:p w:rsidR="00FC5C1B" w:rsidRDefault="00FC5C1B" w:rsidP="00FC5C1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32" name="Рисунок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Виртуальное (дистанционное) наставничество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"наставник – наставляемый", привлечь профессионалов и сформировать банк данных наставников, делает наставничество доступным для широкого круга лиц.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33" name="Рисунок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Наставничество в группе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34" name="Рисунок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Краткосрочное или целеполагающее наставничество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35" name="Рисунок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36" name="Рисунок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37" name="Рисунок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7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Скоростное наставничество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"наставник – наставляемый" ("равный – равному").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58" name="Рисунок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58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Традиционная форма наставничества ("один-на-один")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наставничества "учитель – учитель" – способ реализации целевой модели наставничества через организацию взаимодействия наставнической пары "учитель-профессионал - учитель, вовлеченный в различные формы поддержки и сопровождения". </w:t>
      </w: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Форма наставничества "руководитель образовательной организации – учитель" – способ реализации целевой модели наставничества через организацию взаимодействия наставнической пары "руководитель образовательной организации – учитель", </w:t>
      </w:r>
      <w:r>
        <w:rPr>
          <w:sz w:val="24"/>
          <w:szCs w:val="24"/>
        </w:rPr>
        <w:lastRenderedPageBreak/>
        <w:t xml:space="preserve">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  Организация системы наставничества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sz w:val="24"/>
          <w:szCs w:val="24"/>
        </w:rPr>
        <w:tab/>
        <w:t xml:space="preserve">Наставничество организуется на основании приказа руководителя образовательной организации "Об утверждении положения о системе наставничества педагогических работников в образовательной организации".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59" name="Рисунок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59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3.3. Руководитель образовательной организации: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color w:val="663300"/>
          <w:sz w:val="24"/>
          <w:szCs w:val="24"/>
        </w:rPr>
        <w:t>утверждает куратора реализации программ наставничества, способствует отбору наставников и наставляемых, а также утверждает их</w:t>
      </w:r>
      <w:r>
        <w:rPr>
          <w:sz w:val="24"/>
          <w:szCs w:val="24"/>
        </w:rPr>
        <w:t xml:space="preserve">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rPr>
          <w:sz w:val="24"/>
          <w:szCs w:val="24"/>
        </w:rPr>
        <w:t>вебинарах</w:t>
      </w:r>
      <w:proofErr w:type="spellEnd"/>
      <w:r>
        <w:rPr>
          <w:sz w:val="24"/>
          <w:szCs w:val="24"/>
        </w:rPr>
        <w:t xml:space="preserve">, семинарах по проблемам наставничества и т.п.);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60" name="Рисунок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Рисунок 60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3.4. Куратор реализации программ наставничества: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назначается руководителем образовательной организации из числа заместителей руководителя;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>
        <w:rPr>
          <w:sz w:val="24"/>
          <w:szCs w:val="24"/>
        </w:rPr>
        <w:t>стажировочных</w:t>
      </w:r>
      <w:proofErr w:type="spellEnd"/>
      <w:r>
        <w:rPr>
          <w:sz w:val="24"/>
          <w:szCs w:val="24"/>
        </w:rPr>
        <w:t xml:space="preserve"> площадках и в базовых школах с привлечением наставников из других образовательных организаций;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курирует процесс разработки и реализации персонализированных программ наставничества;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61" name="Рисунок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61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3.5. Методическое объединение наставников/комиссия/совет (при его наличии):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принимает участие в разработке методического сопровождения разнообразных форм наставничества педагогических работников;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организационно-педагогическое, учебно-методическое, обеспечение реализации персонализированных программ наставничества </w:t>
      </w:r>
      <w:proofErr w:type="gramStart"/>
      <w:r>
        <w:rPr>
          <w:sz w:val="24"/>
          <w:szCs w:val="24"/>
        </w:rPr>
        <w:t>в образов</w:t>
      </w:r>
      <w:proofErr w:type="gramEnd"/>
      <w:r>
        <w:rPr>
          <w:sz w:val="24"/>
          <w:szCs w:val="24"/>
        </w:rPr>
        <w:t xml:space="preserve">. организации;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участвует в мониторинге реализации персонализированных программ наставничества педагогических работников;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является открытой площадкой для осуществления консультационных, согласовательных функций и функций медиации;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 </w:t>
      </w: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 xml:space="preserve">Права и обязанности наставника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Права наставника: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привлекать для оказания помощи наставляемому других педагогических работников образовательной организации с их согласия;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осуществлять мониторинг деятельности наставляемого в форме личной проверки выполнения заданий.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Обязанности наставника: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 xml:space="preserve">. и на личном примере;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 </w:t>
      </w: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 xml:space="preserve">Права и обязанности наставляемого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Права наставляемого: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систематически повышать свой профессиональный уровень;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участвовать в составлении персонализированной программы наставничества педагогических работников;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обращаться к наставнику за помощью по вопросам, связанным с должностными обязанностями, профессиональной деятельностью;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обращаться к куратору и руководителю образовательной организации с ходатайством о замене наставника.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Обязанности наставляемого: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изучать Федеральный закон от 29 декабря 2012 г. N 273-ФЗ "Об образовании в Российской Федерации",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реализовывать мероприятия плана персонализированной программы наставничества в установленные сроки;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соблюдать правила внутреннего трудового распорядка образовательной организации;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выполнять указания и рекомендации наставника по исполнению должностных, профессиональных обязанностей;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устранять совместно с наставником допущенные ошибки и выявленные затруднения; - проявлять дисциплинированность, организованность и культуру в работе и учебе;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учиться у наставника передовым, инновационным методам и формам работы, правильно строить свои взаимоотношения с ним. </w:t>
      </w: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Процесс формирования пар и групп наставников и педагогов, в отношении которых осуществляется наставничество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62" name="Рисунок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Рисунок 62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6.1. Формирование наставнических пар (групп) осуществляется по основным критериям: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профессиональный профиль или личный (</w:t>
      </w:r>
      <w:proofErr w:type="spellStart"/>
      <w:r>
        <w:rPr>
          <w:sz w:val="24"/>
          <w:szCs w:val="24"/>
        </w:rPr>
        <w:t>компетентностный</w:t>
      </w:r>
      <w:proofErr w:type="spellEnd"/>
      <w:r>
        <w:rPr>
          <w:sz w:val="24"/>
          <w:szCs w:val="24"/>
        </w:rPr>
        <w:t xml:space="preserve">) опыт наставника должны соответствовать запросам наставляемого или наставляемых;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04800" cy="285750"/>
            <wp:effectExtent l="0" t="0" r="0" b="0"/>
            <wp:docPr id="63" name="Рисунок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Рисунок 63"/>
                    <pic:cNvPicPr/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</w:t>
      </w:r>
      <w:r>
        <w:rPr>
          <w:color w:val="663300"/>
          <w:sz w:val="24"/>
          <w:szCs w:val="24"/>
        </w:rPr>
        <w:t xml:space="preserve">утверждаются приказом руководителя образовательной организации. </w:t>
      </w: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 xml:space="preserve">Завершение персонализированной программы наставничества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Завершение персонализированной программы наставничества происходит в случае: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завершения плана мероприятий персонализированной программы наставничества в полном объеме;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инициативе наставника или наставляемого и/или обоюдному решению (по уважительным обстоятельствам); </w:t>
      </w:r>
    </w:p>
    <w:p w:rsidR="00FC5C1B" w:rsidRDefault="00FC5C1B" w:rsidP="00FC5C1B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 </w:t>
      </w:r>
    </w:p>
    <w:p w:rsidR="00FC5C1B" w:rsidRDefault="00FC5C1B" w:rsidP="00FC5C1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Изменение сроков реализации персонализированной программы наставничества педагогических работников.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плана, формы наставничества). </w:t>
      </w: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ab/>
        <w:t xml:space="preserve">Условия публикации результатов персонализированной программы наставничества педагогических работников на сайте образовательной организации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>
        <w:rPr>
          <w:sz w:val="24"/>
          <w:szCs w:val="24"/>
        </w:rPr>
        <w:tab/>
        <w:t xml:space="preserve"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</w:t>
      </w: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Результаты персонализированных программ наставничества педагогических работников в образовательной организации публикуются после их завершения.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  <w:t xml:space="preserve">Заключительные положения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FC5C1B" w:rsidRDefault="00FC5C1B" w:rsidP="00FC5C1B">
      <w:pPr>
        <w:spacing w:after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 </w:t>
      </w:r>
    </w:p>
    <w:p w:rsidR="00FC5C1B" w:rsidRDefault="00FC5C1B" w:rsidP="00FC5C1B">
      <w:pPr>
        <w:spacing w:after="0"/>
        <w:ind w:firstLine="426"/>
        <w:jc w:val="both"/>
        <w:rPr>
          <w:sz w:val="24"/>
          <w:szCs w:val="24"/>
        </w:rPr>
      </w:pPr>
    </w:p>
    <w:p w:rsidR="00FC5C1B" w:rsidRDefault="00FC5C1B" w:rsidP="00FC5C1B">
      <w:pPr>
        <w:spacing w:after="0"/>
        <w:jc w:val="center"/>
        <w:rPr>
          <w:b/>
        </w:rPr>
      </w:pPr>
    </w:p>
    <w:p w:rsidR="00166A50" w:rsidRDefault="00166A50"/>
    <w:sectPr w:rsidR="00166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24D5"/>
    <w:multiLevelType w:val="hybridMultilevel"/>
    <w:tmpl w:val="2C74C02A"/>
    <w:lvl w:ilvl="0" w:tplc="B4F24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A3"/>
    <w:rsid w:val="00166A50"/>
    <w:rsid w:val="003A6067"/>
    <w:rsid w:val="007177A3"/>
    <w:rsid w:val="00FC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1E946"/>
  <w15:chartTrackingRefBased/>
  <w15:docId w15:val="{3A23ACE3-2001-4667-B4D7-B3FFFBBE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C1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C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6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6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3725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2023-02-03T13:19:00Z</cp:lastPrinted>
  <dcterms:created xsi:type="dcterms:W3CDTF">2023-02-03T10:02:00Z</dcterms:created>
  <dcterms:modified xsi:type="dcterms:W3CDTF">2023-02-03T13:21:00Z</dcterms:modified>
</cp:coreProperties>
</file>